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60" w:line="240" w:lineRule="auto"/>
        <w:jc w:val="center"/>
      </w:pPr>
      <w:r>
        <w:rPr>
          <w:b/>
          <w:sz w:val="21"/>
        </w:rPr>
        <w:t>СОГЛАСИЕ НА ОБРАБОТКУ ПЕРСОНАЛЬНЫХ ДАННЫХ В ЦЕЛЯХ РЕКЛАМНЫХ РАССЫЛОК И НА ПОЛУЧЕНИЕ РЕКЛАМНЫХ СООБЩЕНИЙ</w:t>
      </w:r>
    </w:p>
    <w:p>
      <w:pPr>
        <w:spacing w:after="6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94"/>
        <w:gridCol w:w="6860"/>
      </w:tblGrid>
      <w:tr w:rsidR="006B2C4F" w:rsidRPr="00226E56" w14:paraId="6AC65E84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>
            <w:r/>
            <w:r>
              <w:rPr>
                <w:sz w:val="19"/>
              </w:rPr>
              <w:t>Оператор / рекламораспространитель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r/>
            <w:r>
              <w:rPr>
                <w:sz w:val="19"/>
              </w:rPr>
              <w:t>Индивидуальный предприниматель Кыльчик Виталий Иванович, ИНН 772995973319, ОГРНИП 324774600824539, адрес: 119192, г. Москва, пр-кт Мичуринский, д. 11, к. 4, кв. 162</w:t>
            </w:r>
          </w:p>
        </w:tc>
      </w:tr>
      <w:tr w:rsidR="006B2C4F" w14:paraId="3AE5D645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>
            <w:r/>
            <w:r>
              <w:rPr>
                <w:sz w:val="19"/>
              </w:rPr>
              <w:t>Сайт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r/>
            <w:r>
              <w:rPr>
                <w:sz w:val="19"/>
              </w:rPr>
              <w:t>https://ksigma-education.ru/</w:t>
            </w:r>
          </w:p>
        </w:tc>
      </w:tr>
      <w:tr w:rsidR="006B2C4F" w14:paraId="2DC2909F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>
            <w:r/>
            <w:r>
              <w:rPr>
                <w:sz w:val="19"/>
              </w:rPr>
              <w:t>Редакция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r/>
            <w:r>
              <w:rPr>
                <w:sz w:val="19"/>
              </w:rPr>
              <w:t>от 6 октября 2026 г.</w:t>
            </w:r>
          </w:p>
        </w:tc>
      </w:tr>
    </w:tbl>
    <w:p>
      <w:pPr>
        <w:spacing w:after="60" w:line="240" w:lineRule="auto"/>
      </w:pPr>
      <w:r>
        <w:rPr>
          <w:sz w:val="21"/>
        </w:rPr>
        <w:t>Настоящий текст устанавливает стандартные (эталонные) условия маркетингового согласия КСИГМА. Конкретное согласие предоставляется только добровольным и однозначным действием адресата в отношении конкретного канала связи после предоставления ему возможности ознакомиться с настоящим текстом. Отказ от согласия не влияет на регистрацию, оформление заказа, обучение или получение иных услуг.</w:t>
      </w:r>
    </w:p>
    <w:p>
      <w:pPr>
        <w:spacing w:after="60" w:line="240" w:lineRule="auto"/>
      </w:pPr>
      <w:r>
        <w:rPr>
          <w:sz w:val="21"/>
        </w:rPr>
        <w:t>Настоящее маркетинговое согласие содержит два самостоятельных по правовой природе волеизъявления: (1) предварительное согласие на обработку персональных данных в целях прямого продвижения образовательных продуктов с использованием средств связи в соответствии со статьями 9 и 15 Федерального закона № 152-ФЗ «О персональных данных»; (2) предварительное согласие адресата на получение рекламных сообщений по соответствующему каналу связи в соответствии со статьей 18 Федерального закона № 38-ФЗ «О рекламе». Оба волеизъявления подтверждаются отдельным от оферты, регистрации, согласия на обработку данных для иных целей и других документов действием пользователя, прямо связанным с настоящими условиями.</w:t>
      </w:r>
    </w:p>
    <w:p>
      <w:pPr>
        <w:spacing w:after="60" w:line="240" w:lineRule="auto"/>
      </w:pPr>
      <w:r>
        <w:rPr>
          <w:sz w:val="21"/>
        </w:rPr>
        <w:t>Сервисные и организационные сообщения, необходимые для исполнения действующего договора, обработки инициированного пользователем обращения или предоставления запрошенного функционала (например, чеки, доступы, расписание, переносы занятий, домашние задания и технические уведомления), не относятся к настоящему согласию. Если сообщение одновременно содержит продвижение иных или новых товаров, работ или услуг, к рекламной части применяются настоящие условия.</w:t>
      </w:r>
    </w:p>
    <w:p>
      <w:pPr>
        <w:pStyle w:val="1"/>
        <w:spacing w:before="140" w:after="60"/>
      </w:pPr>
      <w:r>
        <w:rPr>
          <w:b/>
        </w:rPr>
        <w:t>1. Канальный принцип согласия</w:t>
      </w:r>
    </w:p>
    <w:p>
      <w:pPr>
        <w:spacing w:after="60" w:line="240" w:lineRule="auto"/>
      </w:pPr>
      <w:r>
        <w:rPr>
          <w:sz w:val="21"/>
        </w:rPr>
        <w:t>Согласие предоставляется и учитывается отдельно для каждого канала. Согласие по одному каналу не дает Оператору права направлять рекламу по другому каналу.</w:t>
      </w:r>
    </w:p>
    <w:p>
      <w:pPr>
        <w:spacing w:after="60" w:line="240" w:lineRule="auto"/>
      </w:pPr>
      <w:r>
        <w:rPr>
          <w:sz w:val="21"/>
        </w:rPr>
        <w:t>• e-mail: отдельный заранее не отмеченный чекбокс при регистрации, в личном кабинете либо в иной форме, где указан e-mail и дана ссылка на настоящие условия;</w:t>
      </w:r>
    </w:p>
    <w:p>
      <w:pPr>
        <w:spacing w:after="60" w:line="240" w:lineRule="auto"/>
      </w:pPr>
      <w:r>
        <w:rPr>
          <w:sz w:val="21"/>
        </w:rPr>
        <w:t>• Telegram: отдельная кнопка или иное однозначное действие в боте (например, «Получать» / «Подписаться») после понятного предложения подписаться и предоставления ссылки на настоящие условия;</w:t>
      </w:r>
    </w:p>
    <w:p>
      <w:pPr>
        <w:spacing w:after="60" w:line="240" w:lineRule="auto"/>
      </w:pPr>
      <w:r>
        <w:rPr>
          <w:sz w:val="21"/>
        </w:rPr>
        <w:t>• ВКонтакте: активная подписка на соответствующую рассылку, в том числе через Senler, при условии предоставления пользователю ссылки на настоящие условия до подтверждения подписки;</w:t>
      </w:r>
    </w:p>
    <w:p>
      <w:pPr>
        <w:spacing w:after="60" w:line="240" w:lineRule="auto"/>
      </w:pPr>
      <w:r>
        <w:rPr>
          <w:sz w:val="21"/>
        </w:rPr>
        <w:t>• иной канал: только после отдельного явного согласия адресата, зафиксированного именно для этого канала.</w:t>
      </w:r>
    </w:p>
    <w:p>
      <w:pPr>
        <w:spacing w:after="60" w:line="240" w:lineRule="auto"/>
      </w:pPr>
      <w:r>
        <w:rPr>
          <w:sz w:val="21"/>
        </w:rPr>
        <w:t>Адресат и канал определяются по соответствующему контактному идентификатору: адресу электронной почты, Telegram ID / аккаунту, VK ID / аккаунту либо иному идентификатору выбранного канала.</w:t>
      </w:r>
    </w:p>
    <w:p>
      <w:pPr>
        <w:pStyle w:val="1"/>
        <w:spacing w:before="140" w:after="60"/>
      </w:pPr>
      <w:r>
        <w:rPr>
          <w:b/>
        </w:rPr>
        <w:t>2. Содержание рекламных сообщений</w:t>
      </w:r>
    </w:p>
    <w:p>
      <w:pPr>
        <w:spacing w:after="60" w:line="240" w:lineRule="auto"/>
      </w:pPr>
      <w:r>
        <w:rPr>
          <w:sz w:val="21"/>
        </w:rPr>
        <w:t>• анонсы курсов, интенсивов, вебинаров, пробников, открытых занятий, консультаций и иных образовательных продуктов и мероприятий КСИГМА;</w:t>
      </w:r>
    </w:p>
    <w:p>
      <w:pPr>
        <w:spacing w:after="60" w:line="240" w:lineRule="auto"/>
      </w:pPr>
      <w:r>
        <w:rPr>
          <w:sz w:val="21"/>
        </w:rPr>
        <w:t>• информация о наборах, стартах программ, новых продуктах и условиях участия;</w:t>
      </w:r>
    </w:p>
    <w:p>
      <w:pPr>
        <w:spacing w:after="60" w:line="240" w:lineRule="auto"/>
      </w:pPr>
      <w:r>
        <w:rPr>
          <w:sz w:val="21"/>
        </w:rPr>
        <w:t>• скидки, акции, специальные предложения, промокоды и иные рекламные предложения;</w:t>
      </w:r>
    </w:p>
    <w:p>
      <w:pPr>
        <w:spacing w:after="60" w:line="240" w:lineRule="auto"/>
      </w:pPr>
      <w:r>
        <w:rPr>
          <w:sz w:val="21"/>
        </w:rPr>
        <w:t>• полезные образовательные материалы, подборки и новости школы, если они направляются в рамках маркетинговой коммуникации;</w:t>
      </w:r>
    </w:p>
    <w:p>
      <w:pPr>
        <w:spacing w:after="60" w:line="240" w:lineRule="auto"/>
      </w:pPr>
      <w:r>
        <w:rPr>
          <w:sz w:val="21"/>
        </w:rPr>
        <w:t>• персонализированные предложения с учетом класса, интересующих направлений, истории обращений, заказов и обучения — если такие данные имеются у Оператора и их использование соответствует настоящему согласию и Политике обработки персональных данных.</w:t>
      </w:r>
    </w:p>
    <w:p>
      <w:pPr>
        <w:pStyle w:val="1"/>
        <w:spacing w:before="140" w:after="60"/>
      </w:pPr>
      <w:r>
        <w:rPr>
          <w:b/>
        </w:rPr>
        <w:t>3. Персональные данные и цели обработки</w:t>
      </w:r>
    </w:p>
    <w:p>
      <w:pPr>
        <w:spacing w:after="60" w:line="240" w:lineRule="auto"/>
      </w:pPr>
      <w:r>
        <w:rPr>
          <w:sz w:val="21"/>
        </w:rPr>
        <w:t>Для рекламных рассылок Оператор обрабатывает только необходимые данные:</w:t>
      </w:r>
    </w:p>
    <w:p>
      <w:pPr>
        <w:spacing w:after="60" w:line="240" w:lineRule="auto"/>
      </w:pPr>
      <w:r>
        <w:rPr>
          <w:sz w:val="21"/>
        </w:rPr>
        <w:t>• имя или ФИО — если они ранее предоставлены Оператору и используются для персонализации;</w:t>
      </w:r>
    </w:p>
    <w:p>
      <w:pPr>
        <w:spacing w:after="60" w:line="240" w:lineRule="auto"/>
      </w:pPr>
      <w:r>
        <w:rPr>
          <w:sz w:val="21"/>
        </w:rPr>
        <w:t>• идентификатор выбранного канала: e-mail, Telegram ID / аккаунт, VK ID / аккаунт либо иной контактный идентификатор;</w:t>
      </w:r>
    </w:p>
    <w:p>
      <w:pPr>
        <w:spacing w:after="60" w:line="240" w:lineRule="auto"/>
      </w:pPr>
      <w:r>
        <w:rPr>
          <w:sz w:val="21"/>
        </w:rPr>
        <w:t>• класс обучения, интересующие направления и программы, сведения о заявках, заказах, участии в мероприятиях и обучении — если они используются для сегментации и персонализации;</w:t>
      </w:r>
    </w:p>
    <w:p>
      <w:pPr>
        <w:spacing w:after="60" w:line="240" w:lineRule="auto"/>
      </w:pPr>
      <w:r>
        <w:rPr>
          <w:sz w:val="21"/>
        </w:rPr>
        <w:t>• технические сведения о подписке, доставке, открытии, переходах по ссылкам и отписке, а также сведения, необходимые для подтверждения факта и условий предоставления согласия.</w:t>
      </w:r>
    </w:p>
    <w:p>
      <w:pPr>
        <w:spacing w:after="60" w:line="240" w:lineRule="auto"/>
      </w:pPr>
      <w:r>
        <w:rPr>
          <w:sz w:val="21"/>
        </w:rPr>
        <w:t>Цели обработки: ведение базы подписчиков по выбранному каналу, формирование и персонализация рекламных сообщений, их направление, учет доставки и отклика, учет предоставленных и отозванных согласий и предотвращение повторной отправки рекламы после отказа.</w:t>
      </w:r>
    </w:p>
    <w:p>
      <w:pPr>
        <w:pStyle w:val="1"/>
        <w:spacing w:before="140" w:after="60"/>
      </w:pPr>
      <w:r>
        <w:rPr>
          <w:b/>
        </w:rPr>
        <w:t>4. Действия с персональными данными и сервисы</w:t>
      </w:r>
    </w:p>
    <w:p>
      <w:pPr>
        <w:spacing w:after="60" w:line="240" w:lineRule="auto"/>
      </w:pPr>
      <w:r>
        <w:rPr>
          <w:sz w:val="21"/>
        </w:rPr>
        <w:t>Оператор вправе осуществлять сбор, запись, систематизацию, накопление, хранение, уточнение, извлечение, использование, передачу лицам, действующим по поручению Оператора, блокирование, удаление и уничтожение персональных данных с использованием средств автоматизации и без них в пределах указанных целей.</w:t>
      </w:r>
    </w:p>
    <w:p>
      <w:pPr>
        <w:spacing w:after="60" w:line="240" w:lineRule="auto"/>
      </w:pPr>
      <w:r>
        <w:rPr>
          <w:sz w:val="21"/>
        </w:rPr>
        <w:t>Для доставки и учета рассылок могут использоваться CRM, почтовые сервисы, Telegram, ВКонтакте, Senler и иные технические сервисы, указанные в Политике обработки персональных данных Оператора. Данные передаются им только в объеме, необходимом для соответствующего канала, и при наличии законного основания.</w:t>
      </w:r>
    </w:p>
    <w:p>
      <w:pPr>
        <w:pStyle w:val="1"/>
        <w:spacing w:before="140" w:after="60"/>
      </w:pPr>
      <w:r>
        <w:rPr>
          <w:b/>
        </w:rPr>
        <w:t>5. Порядок предоставления и доказательство согласия</w:t>
      </w:r>
    </w:p>
    <w:p>
      <w:pPr>
        <w:spacing w:after="60" w:line="240" w:lineRule="auto"/>
      </w:pPr>
      <w:r>
        <w:rPr>
          <w:sz w:val="21"/>
        </w:rPr>
        <w:t>Конкретное согласие считается предоставленным только если действие пользователя однозначно связано с предложением получать рекламные сообщения от КСИГМА по конкретному каналу и до совершения действия пользователь мог ознакомиться с настоящими условиями. Формулировка интерфейса должна ясно сообщать, что действие означает согласие на обработку персональных данных для рекламных рассылок и на получение рекламных сообщений.</w:t>
      </w:r>
    </w:p>
    <w:p>
      <w:pPr>
        <w:spacing w:after="60" w:line="240" w:lineRule="auto"/>
      </w:pPr>
      <w:r>
        <w:rPr>
          <w:sz w:val="21"/>
        </w:rPr>
        <w:t>Оператор фиксирует и хранит доказательства согласия: дату и время, канал и контактный идентификатор, источник подписки, версию настоящих условий, идентификатор формы / страницы / бота / группы рассылки, а при наличии — IP-адрес, user-agent, идентификатор заявки или пользователя платформы.</w:t>
      </w:r>
    </w:p>
    <w:p>
      <w:pPr>
        <w:spacing w:after="60" w:line="240" w:lineRule="auto"/>
      </w:pPr>
      <w:r>
        <w:rPr>
          <w:sz w:val="21"/>
        </w:rPr>
        <w:t>Молчание, бездействие, заранее установленный чекбокс, факт регистрации на сайте, начало диалога с ботом, вступление в сообщество ВКонтакте, разрешение сообществу отвечать на сообщения либо наличие договора сами по себе не являются согласием на рекламные сообщения.</w:t>
      </w:r>
    </w:p>
    <w:p>
      <w:pPr>
        <w:pStyle w:val="1"/>
        <w:spacing w:before="140" w:after="60"/>
      </w:pPr>
      <w:r>
        <w:rPr>
          <w:b/>
        </w:rPr>
        <w:t>6. Срок действия и отказ</w:t>
      </w:r>
    </w:p>
    <w:p>
      <w:pPr>
        <w:spacing w:after="60" w:line="240" w:lineRule="auto"/>
      </w:pPr>
      <w:r>
        <w:rPr>
          <w:sz w:val="21"/>
        </w:rPr>
        <w:t>Согласие по каждому каналу действует до его отзыва адресатом или до прекращения Оператором соответствующей рассылки. Отказ по одному каналу не прекращает согласия по другим каналам, если они были получены отдельно.</w:t>
      </w:r>
    </w:p>
    <w:p>
      <w:pPr>
        <w:spacing w:after="60" w:line="240" w:lineRule="auto"/>
      </w:pPr>
      <w:r>
        <w:rPr>
          <w:sz w:val="21"/>
        </w:rPr>
        <w:t>Отказ осуществляется способом, доступным в соответствующем канале: по ссылке «Отписаться» в e-mail, командой / кнопкой отписки в Telegram-боте, через механизм отписки ВКонтакте / Senler либо путем обращения на e-mail kylchik.s@yandex.ru. После получения требования адресата Оператор незамедлительно прекращает рекламные сообщения по соответствующему каналу.</w:t>
      </w:r>
    </w:p>
    <w:p>
      <w:pPr>
        <w:spacing w:after="60" w:line="240" w:lineRule="auto"/>
      </w:pPr>
      <w:r>
        <w:rPr>
          <w:sz w:val="21"/>
        </w:rPr>
        <w:t>После отзыва Оператор прекращает обработку персональных данных для маркетинговой цели, если отсутствует иное законное основание. Минимальные сведения о факте и дате отказа могут сохраняться в объеме, необходимом для подтверждения исполнения требования и предотвращения повторной нежелательной рассылки.</w:t>
      </w:r>
    </w:p>
    <w:sectPr w:rsidR="006B2C4F" w:rsidSect="00034616">
      <w:pgSz w:w="12240" w:h="15840"/>
      <w:pgMar w:top="964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4579115">
    <w:abstractNumId w:val="8"/>
  </w:num>
  <w:num w:numId="2" w16cid:durableId="178355757">
    <w:abstractNumId w:val="6"/>
  </w:num>
  <w:num w:numId="3" w16cid:durableId="1493137880">
    <w:abstractNumId w:val="5"/>
  </w:num>
  <w:num w:numId="4" w16cid:durableId="2010015395">
    <w:abstractNumId w:val="4"/>
  </w:num>
  <w:num w:numId="5" w16cid:durableId="1356612133">
    <w:abstractNumId w:val="7"/>
  </w:num>
  <w:num w:numId="6" w16cid:durableId="1473522203">
    <w:abstractNumId w:val="3"/>
  </w:num>
  <w:num w:numId="7" w16cid:durableId="221258056">
    <w:abstractNumId w:val="2"/>
  </w:num>
  <w:num w:numId="8" w16cid:durableId="1588343550">
    <w:abstractNumId w:val="1"/>
  </w:num>
  <w:num w:numId="9" w16cid:durableId="1981375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6E56"/>
    <w:rsid w:val="0029639D"/>
    <w:rsid w:val="00326F90"/>
    <w:rsid w:val="006B2C4F"/>
    <w:rsid w:val="00AA1D8D"/>
    <w:rsid w:val="00B47730"/>
    <w:rsid w:val="00CB0664"/>
    <w:rsid w:val="00E352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209655"/>
  <w14:defaultImageDpi w14:val="300"/>
  <w15:docId w15:val="{89332258-95CB-C843-906C-A79B06091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color w:val="1E1E1E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2544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2544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2544"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e59347</cp:lastModifiedBy>
  <cp:revision>2</cp:revision>
  <dcterms:created xsi:type="dcterms:W3CDTF">2013-12-23T23:15:00Z</dcterms:created>
  <dcterms:modified xsi:type="dcterms:W3CDTF">2026-04-26T20:00:00Z</dcterms:modified>
  <cp:category/>
</cp:coreProperties>
</file>