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6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3263c"/>
          <w:sz w:val="36"/>
          <w:szCs w:val="36"/>
          <w:rtl w:val="0"/>
        </w:rPr>
        <w:t xml:space="preserve">Карточка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spacing w:after="100" w:before="0" w:line="24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5f5f69"/>
          <w:sz w:val="21"/>
          <w:szCs w:val="21"/>
          <w:rtl w:val="0"/>
        </w:rPr>
        <w:t xml:space="preserve">Направление: экономика | Программа: «С нуля»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spacing w:after="80" w:before="0" w:line="24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Настоящая карточка описывает существенные условия выбранной образовательной программы и применяется совместно с публичной офертой Исполнителя. Конкретная ценовая ступень, пакет, дата начала потока и срок доступа фиксируются в Заказе при оформлении оплаты.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3263c"/>
          <w:sz w:val="26"/>
          <w:szCs w:val="26"/>
          <w:rtl w:val="0"/>
        </w:rPr>
        <w:t xml:space="preserve">1. Основные сведения о программе</w:t>
      </w: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Layout w:type="fixed"/>
        <w:tblLook w:val="0400"/>
      </w:tblPr>
      <w:tblGrid>
        <w:gridCol w:w="2665"/>
        <w:gridCol w:w="7370"/>
        <w:tblGridChange w:id="0">
          <w:tblGrid>
            <w:gridCol w:w="2665"/>
            <w:gridCol w:w="737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Параметр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Наименование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«С нуля»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Вид и направленность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Дополнительная общеобразовательная общеразвивающая программа социально-гуманитарной направленности.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Целевая аудитория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Ученики 8–11 классов, которые начинают изучать олимпиадную экономику с нулевого или базового уровня и хотят сформировать системную базу для дальнейшей подготовки к ВсОШ и перечневым олимпиадам.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Форма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Заочная форма обучения с применением электронного обучения и дистанционных образовательных технологий. Программа осваивается преимущественно асинхронно по записанным видеоматериалам на образовательной платформе.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Срок освоения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12 учебных недель: с 14 сентября 2026 г. по 6 декабря 2026 г. Для последующих потоков дата начала и календарь открытия материалов указываются в Заказе или на платформе.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Общий объем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18 тематических разделов. По каждой теме размещается в среднем 5–6 коротких видео продолжительностью около 20–30 минут каждое: ориентировочно 90–108 видеоматериалов и 40–72 академических часа видеоконтента. Точный объем может увеличиваться при добавлении пояснений и разборов без дополнительной платы.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Формат занятий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Короткие тематические видеолекции, конспекты и иные учебные материалы, задания для самостоятельной работы и разборы решений. Домашние задания доступны для сдачи через образовательную платформу; проверка грейдером и индивидуальная обратная связь предоставляются в составе приобретенного пакета или в соответствии с Заказом.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Порядок открытия материалов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Блоки «Математические опоры» и «Макроэкономика и финансовая система» открываются сразу после оплаты и предоставления доступа. Основная программа открывается по одной теме в неделю с даты старта потока. При присоединении после старта открываются все темы, дата открытия которых уже наступила; остальные — по календарю потока.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Срок доступа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spacing w:after="0" w:before="0" w:line="24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Доступ к записям, платформе и учебным материалам сохраняется до 1 июня 2027 г., если иной срок не указан в Заказе.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Каналы связи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Для каждого потока может создаваться отдельный Telegram-чат для вопросов по материалам и обсуждения задач. Организационные объявления также размещаются на платформе или направляются по иным каналам, указанным Исполнителем.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keepNext w:val="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3263c"/>
          <w:sz w:val="26"/>
          <w:szCs w:val="26"/>
          <w:rtl w:val="0"/>
        </w:rPr>
        <w:t xml:space="preserve">2. Тарифы и порядок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35.0" w:type="dxa"/>
        <w:jc w:val="center"/>
        <w:tblLayout w:type="fixed"/>
        <w:tblLook w:val="0400"/>
      </w:tblPr>
      <w:tblGrid>
        <w:gridCol w:w="6235"/>
        <w:gridCol w:w="2100"/>
        <w:tblGridChange w:id="0">
          <w:tblGrid>
            <w:gridCol w:w="6235"/>
            <w:gridCol w:w="210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6"/>
                <w:szCs w:val="16"/>
                <w:rtl w:val="0"/>
              </w:rPr>
              <w:t xml:space="preserve">Состав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6"/>
                <w:szCs w:val="16"/>
                <w:rtl w:val="0"/>
              </w:rPr>
              <w:t xml:space="preserve">Стоимость всей программы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6"/>
                <w:szCs w:val="16"/>
                <w:rtl w:val="0"/>
              </w:rPr>
              <w:t xml:space="preserve">Записанные уроки и материалы всей программы; задания и разборы; проверка домашних заданий.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6"/>
                <w:szCs w:val="16"/>
                <w:rtl w:val="0"/>
              </w:rPr>
              <w:t xml:space="preserve"> 900 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spacing w:after="40" w:before="0" w:line="252.0000000000000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spacing w:after="40" w:before="0" w:line="252.00000000000003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Оплата производится единовременно за весь срок программы, если в Заказе не предусмотрена оплата частями.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spacing w:after="40" w:before="0" w:line="252.00000000000003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Доступ предоставляется после поступления оплаты либо в иной момент, прямо указанный в Заказе.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spacing w:after="40" w:before="0" w:line="252.00000000000003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При оплате частями открытие последующих блоков может зависеть от своевременной оплаты соответствующей части.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spacing w:after="40" w:before="0" w:line="252.00000000000003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Неоплата будущей части при согласованной поэтапной оплате не образует задолженность за нее, но прекращает обязанность Исполнителя открывать неоплаченные материалы.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spacing w:after="40" w:before="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3263c"/>
          <w:sz w:val="26"/>
          <w:szCs w:val="26"/>
          <w:rtl w:val="0"/>
        </w:rPr>
        <w:t xml:space="preserve">3. Порядок расчета возврата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spacing w:after="80" w:before="0" w:line="24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Возврат рассчитывается в соответствии с публичной офертой Исполнителя и применимым законодательством. Заказчик вправе отказаться от дальнейшего освоения программы; возврату подлежит стоимость еще не предоставленной части программы за вычетом допустимых законом и документально подтвержденных расходов Исполнителя.</w:t>
      </w: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center"/>
        <w:tblLayout w:type="fixed"/>
        <w:tblLook w:val="0400"/>
      </w:tblPr>
      <w:tblGrid>
        <w:gridCol w:w="2665"/>
        <w:gridCol w:w="7370"/>
        <w:tblGridChange w:id="0">
          <w:tblGrid>
            <w:gridCol w:w="2665"/>
            <w:gridCol w:w="737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Ситуация / правило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До предоставления доступа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Возвращается уплаченная сумма за вычетом фактически понесенных расходов Исполнителя, если такие расходы могут быть удержаны по закону и подтверждены документально.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После предоставления доступа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Из уплаченной суммы вычитается стоимость уже открытой и предоставленной части программы, а также допустимые законом подтвержденные расходы.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Что считается предоставленной частью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Материалы считаются предоставленными с момента открытия доступа к соответствующему блоку на платформе независимо от того, просмотрел ли их Обучающийся. Вводные блоки, открываемые сразу после покупки, относятся к предоставленной части с момента выдачи доступа.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Формула пропорционального расчета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Стоимость предоставленной части = фактически уплаченная цена × продолжительность видеоматериалов открытых блоков / общая продолжительность видеоматериалов всей оплаченной программы. При существенном изменении состава материалов используется актуальная продолжительность, доступная в системе на дату расчета.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Домашние задания и проверка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Выполненная проверка домашних заданий и предоставленная индивидуальная обратная связь учитываются как оказанная часть услуги. Неиспользование Обучающимся доступной проверки по причинам, не зависящим от Исполнителя, само по себе не увеличивает сумму возврата.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Прекращение доступа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После оформления возврата Исполнитель вправе закрыть доступ к возвращенной части программы.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Style w:val="Heading1"/>
        <w:keepNext w:val="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3263c"/>
          <w:sz w:val="26"/>
          <w:szCs w:val="26"/>
          <w:rtl w:val="0"/>
        </w:rPr>
        <w:t xml:space="preserve">4. Тематический план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spacing w:after="80" w:before="0" w:line="24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Тематический план носит учебно-методический характер и может незначительно уточняться Исполнителем с учетом качества записи, уровня заданий и образовательной целесообразности. Такие изменения не должны сокращать заявленное содержание программы или ухудшать условия для Заказчика/Обучающегося.</w:t>
      </w:r>
      <w:r w:rsidDel="00000000" w:rsidR="00000000" w:rsidRPr="00000000">
        <w:rPr>
          <w:rtl w:val="0"/>
        </w:rPr>
      </w:r>
    </w:p>
    <w:tbl>
      <w:tblPr>
        <w:tblStyle w:val="Table4"/>
        <w:tblW w:w="10035.0" w:type="dxa"/>
        <w:jc w:val="center"/>
        <w:tblLayout w:type="fixed"/>
        <w:tblLook w:val="0400"/>
      </w:tblPr>
      <w:tblGrid>
        <w:gridCol w:w="2900"/>
        <w:gridCol w:w="2200"/>
        <w:gridCol w:w="4935"/>
        <w:tblGridChange w:id="0">
          <w:tblGrid>
            <w:gridCol w:w="2900"/>
            <w:gridCol w:w="2200"/>
            <w:gridCol w:w="493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Этап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Открытие доступа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Математические опоры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Сразу после покупки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Парабола: график и работа с ним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Математические опоры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Сразу после покупки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Производная функции и предельные величины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Математические опоры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Сразу после покупки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Основы работы с параметрами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Макроэкономика и финансовая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Сразу после покупки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ВВП, экономический рост, инфляция и безработица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Макроэкономика и финансовая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Сразу после покупки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Деньги, банки, процентная ставка и финансовые инструменты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Макроэкономика и финансовая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Сразу после покупки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Фискальная и денежно-кредитная политика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Экономический выбор и рыночное равновесие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1: 14.09.2026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Ограниченность ресурсов, альтернативные издержки и КПВ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Экономический выбор и рыночное равновесие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2: 21.09.2026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Спрос, предложение и рыночное равновесие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Экономический выбор и рыночное равновесие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3: 28.09.2026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Эластичность спроса и предложения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Экономический выбор и рыночное равновесие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4: 05.10.2026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Потребительский выбор, полезность и формирование спроса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Фирма, конкуренция и государство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5: 12.10.2026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Производство, издержки и формирование предложения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Фирма, конкуренция и государство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6: 19.10.2026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Совершенная конкуренция, излишки и эффективность рынка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Фирма, конкуренция и государство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7: 26.10.2026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Монополия и потери общественного благосостояния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Фирма, конкуренция и государство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8: 02.11.2026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Ценовая дискриминация в монополии — расширенная тема уровня «хард»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Фирма, конкуренция и государство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9: 09.11.2026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Налоги, субсидии и регулирование цен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Стратегическое взаимодействие и открытая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10: 16.11.2026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Теория игр и олигополия: стратегии, доминирование, равновесие Нэша, модели Курно и Штакельберга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Стратегическое взаимодействие и открытая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11: 23.11.2026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Сравнительные преимущества и международная торговля (КТВ)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Стратегическое взаимодействие и открытая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Неделя 12: 30.11.2026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Провалы рынка: внешние эффекты, общественные блага и информация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Style w:val="Heading1"/>
        <w:keepNext w:val="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3263c"/>
          <w:sz w:val="26"/>
          <w:szCs w:val="26"/>
          <w:rtl w:val="0"/>
        </w:rPr>
        <w:t xml:space="preserve">5. Итоговые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spacing w:after="40" w:before="0" w:line="252.00000000000003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Карточка программы не заменяет публичную оферту, а конкретизирует условия выбранной образовательной программы и соответствующего Заказа.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spacing w:after="40" w:before="0" w:line="252.00000000000003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Если условия Заказа отличаются от общих сведений настоящей карточки в части даты начала, срока доступа, порядка открытия материалов или оплаты, приоритет имеют условия Заказа, если они не ухудшают положение Заказчика по сравнению с обязательными требованиями закона.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spacing w:after="40" w:before="0" w:line="252.00000000000003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82828"/>
          <w:sz w:val="21"/>
          <w:szCs w:val="21"/>
          <w:rtl w:val="0"/>
        </w:rPr>
        <w:t xml:space="preserve">Конкретные ссылки на платформу, материалы, задания и каналы связи направляются после оплаты либо размещаются в личном кабинете. Исполнитель вправе обновлять записи, заменять отдельные видео на улучшенные версии и добавлять дополнительные материалы без дополнительной 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keepNext w:val="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3263c"/>
          <w:sz w:val="26"/>
          <w:szCs w:val="26"/>
          <w:rtl w:val="0"/>
        </w:rPr>
        <w:t xml:space="preserve">6. Сведения для публикации и контроля версии</w:t>
      </w:r>
      <w:r w:rsidDel="00000000" w:rsidR="00000000" w:rsidRPr="00000000">
        <w:rPr>
          <w:rtl w:val="0"/>
        </w:rPr>
      </w:r>
    </w:p>
    <w:tbl>
      <w:tblPr>
        <w:tblStyle w:val="Table5"/>
        <w:tblW w:w="10035.0" w:type="dxa"/>
        <w:jc w:val="center"/>
        <w:tblLayout w:type="fixed"/>
        <w:tblLook w:val="0400"/>
      </w:tblPr>
      <w:tblGrid>
        <w:gridCol w:w="2665"/>
        <w:gridCol w:w="7370"/>
        <w:tblGridChange w:id="0">
          <w:tblGrid>
            <w:gridCol w:w="2665"/>
            <w:gridCol w:w="737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Параметр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2f4f7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3263c"/>
                <w:sz w:val="17"/>
                <w:szCs w:val="17"/>
                <w:rtl w:val="0"/>
              </w:rPr>
              <w:t xml:space="preserve">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Дата публикации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16.07.2026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Редакция карточки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№1 от 16.07.2026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82828"/>
                <w:sz w:val="17"/>
                <w:szCs w:val="17"/>
                <w:rtl w:val="0"/>
              </w:rPr>
              <w:t xml:space="preserve">Исполнитель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c5d1" w:space="0" w:sz="4" w:val="single"/>
              <w:left w:color="bfc5d1" w:space="0" w:sz="4" w:val="single"/>
              <w:bottom w:color="bfc5d1" w:space="0" w:sz="4" w:val="single"/>
              <w:right w:color="bfc5d1" w:space="0" w:sz="4" w:val="single"/>
            </w:tcBorders>
            <w:shd w:fill="ffffff" w:val="clear"/>
            <w:tcMar>
              <w:top w:w="55.0" w:type="dxa"/>
              <w:left w:w="70.0" w:type="dxa"/>
              <w:bottom w:w="55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82828"/>
                <w:sz w:val="17"/>
                <w:szCs w:val="17"/>
                <w:rtl w:val="0"/>
              </w:rPr>
              <w:t xml:space="preserve">Индивидуальный предприниматель Кыльчик Виталий Иванович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680" w:top="680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2.00000000000003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82828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color w:val="5f5f69"/>
        <w:sz w:val="16"/>
        <w:szCs w:val="16"/>
        <w:rtl w:val="0"/>
      </w:rPr>
      <w:t xml:space="preserve">КСИГМА | Карточка образовательной программы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82828"/>
        <w:lang w:val="en"/>
      </w:rPr>
    </w:rPrDefault>
    <w:pPrDefault>
      <w:pPr>
        <w:spacing w:after="8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140" w:lineRule="auto"/>
    </w:pPr>
    <w:rPr>
      <w:rFonts w:ascii="Calibri" w:cs="Calibri" w:eastAsia="Calibri" w:hAnsi="Calibri"/>
      <w:b w:val="1"/>
      <w:bCs w:val="1"/>
      <w:color w:val="23263c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40" w:lineRule="auto"/>
    </w:pPr>
    <w:rPr>
      <w:rFonts w:ascii="Calibri" w:cs="Calibri" w:eastAsia="Calibri" w:hAnsi="Calibri"/>
      <w:b w:val="1"/>
      <w:bCs w:val="1"/>
      <w:color w:val="23263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60" w:line="240" w:lineRule="auto"/>
    </w:pPr>
    <w:rPr>
      <w:rFonts w:ascii="Calibri" w:cs="Calibri" w:eastAsia="Calibri" w:hAnsi="Calibri"/>
      <w:b w:val="1"/>
      <w:bCs w:val="1"/>
      <w:color w:val="23263c"/>
      <w:sz w:val="36"/>
      <w:szCs w:val="3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